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spacing w:line="560" w:lineRule="exact"/>
        <w:jc w:val="left"/>
        <w:textAlignment w:val="auto"/>
        <w:rPr>
          <w:rFonts w:hint="eastAsia" w:ascii="Times New Roman" w:hAnsi="Times New Roman" w:eastAsia="方正小标宋简体" w:cs="Times New Roman"/>
          <w:color w:val="auto"/>
          <w:sz w:val="32"/>
          <w:szCs w:val="32"/>
          <w:lang w:eastAsia="zh-CN"/>
        </w:rPr>
      </w:pPr>
      <w:r>
        <w:rPr>
          <w:rFonts w:hint="eastAsia" w:ascii="黑体" w:hAnsi="黑体" w:eastAsia="黑体" w:cs="黑体"/>
          <w:color w:val="auto"/>
          <w:sz w:val="32"/>
          <w:szCs w:val="32"/>
          <w:lang w:eastAsia="zh-CN"/>
        </w:rPr>
        <w:t>附件</w:t>
      </w:r>
      <w:r>
        <w:rPr>
          <w:rFonts w:hint="eastAsia" w:ascii="Times New Roman" w:hAnsi="Times New Roman" w:eastAsia="方正小标宋简体" w:cs="Times New Roman"/>
          <w:color w:val="auto"/>
          <w:sz w:val="32"/>
          <w:szCs w:val="32"/>
          <w:lang w:eastAsia="zh-CN"/>
        </w:rPr>
        <w:t>2</w:t>
      </w:r>
    </w:p>
    <w:p>
      <w:pPr>
        <w:keepNext w:val="0"/>
        <w:keepLines w:val="0"/>
        <w:pageBreakBefore w:val="0"/>
        <w:kinsoku/>
        <w:overflowPunct/>
        <w:topLinePunct w:val="0"/>
        <w:autoSpaceDE/>
        <w:autoSpaceDN/>
        <w:bidi w:val="0"/>
        <w:spacing w:line="560" w:lineRule="exact"/>
        <w:jc w:val="center"/>
        <w:textAlignment w:val="auto"/>
        <w:rPr>
          <w:rFonts w:hint="eastAsia" w:ascii="Times New Roman" w:hAnsi="Times New Roman" w:eastAsia="方正小标宋简体" w:cs="Times New Roman"/>
          <w:color w:val="auto"/>
          <w:sz w:val="44"/>
          <w:szCs w:val="44"/>
          <w:lang w:eastAsia="zh-CN"/>
        </w:rPr>
      </w:pPr>
    </w:p>
    <w:p>
      <w:pPr>
        <w:keepNext w:val="0"/>
        <w:keepLines w:val="0"/>
        <w:pageBreakBefore w:val="0"/>
        <w:kinsoku/>
        <w:overflowPunct/>
        <w:topLinePunct w:val="0"/>
        <w:autoSpaceDE/>
        <w:autoSpaceDN/>
        <w:bidi w:val="0"/>
        <w:spacing w:line="560" w:lineRule="exact"/>
        <w:jc w:val="center"/>
        <w:textAlignment w:val="auto"/>
        <w:rPr>
          <w:rFonts w:hint="eastAsia" w:ascii="Times New Roman" w:hAnsi="Times New Roman" w:eastAsia="方正小标宋简体" w:cs="Times New Roman"/>
          <w:color w:val="auto"/>
          <w:sz w:val="44"/>
          <w:szCs w:val="44"/>
          <w:lang w:eastAsia="zh-CN"/>
        </w:rPr>
      </w:pPr>
      <w:r>
        <w:rPr>
          <w:rFonts w:hint="eastAsia" w:ascii="Times New Roman" w:hAnsi="Times New Roman" w:eastAsia="方正小标宋简体" w:cs="Times New Roman"/>
          <w:color w:val="auto"/>
          <w:sz w:val="44"/>
          <w:szCs w:val="44"/>
          <w:lang w:eastAsia="zh-CN"/>
        </w:rPr>
        <w:t>《</w:t>
      </w:r>
      <w:r>
        <w:rPr>
          <w:rFonts w:hint="eastAsia" w:ascii="Times New Roman" w:hAnsi="Times New Roman" w:eastAsia="方正小标宋简体" w:cs="Times New Roman"/>
          <w:color w:val="auto"/>
          <w:spacing w:val="-11"/>
          <w:sz w:val="44"/>
          <w:szCs w:val="44"/>
          <w:lang w:eastAsia="zh-CN"/>
        </w:rPr>
        <w:t>“两湾”产业融合科技创新智库（广西·玉林）</w:t>
      </w:r>
      <w:r>
        <w:rPr>
          <w:rFonts w:hint="eastAsia" w:ascii="Times New Roman" w:hAnsi="Times New Roman" w:eastAsia="方正小标宋简体" w:cs="Times New Roman"/>
          <w:color w:val="auto"/>
          <w:sz w:val="44"/>
          <w:szCs w:val="44"/>
          <w:lang w:eastAsia="zh-CN"/>
        </w:rPr>
        <w:t>管理办法》（征求意见稿）起草说明</w:t>
      </w:r>
    </w:p>
    <w:p>
      <w:pPr>
        <w:keepNext w:val="0"/>
        <w:keepLines w:val="0"/>
        <w:pageBreakBefore w:val="0"/>
        <w:kinsoku/>
        <w:overflowPunct/>
        <w:topLinePunct w:val="0"/>
        <w:autoSpaceDE/>
        <w:autoSpaceDN/>
        <w:bidi w:val="0"/>
        <w:spacing w:line="560" w:lineRule="exact"/>
        <w:jc w:val="center"/>
        <w:textAlignment w:val="auto"/>
        <w:rPr>
          <w:rFonts w:hint="default" w:ascii="楷体_GB2312" w:eastAsia="楷体_GB2312" w:cs="Times New Roman"/>
          <w:b w:val="0"/>
          <w:bCs/>
          <w:color w:val="auto"/>
          <w:sz w:val="32"/>
          <w:szCs w:val="32"/>
          <w:lang w:val="en" w:eastAsia="zh-CN"/>
        </w:rPr>
      </w:pPr>
    </w:p>
    <w:p>
      <w:pPr>
        <w:keepNext w:val="0"/>
        <w:keepLines w:val="0"/>
        <w:pageBreakBefore w:val="0"/>
        <w:kinsoku/>
        <w:overflowPunct/>
        <w:topLinePunct w:val="0"/>
        <w:autoSpaceDE/>
        <w:autoSpaceDN/>
        <w:bidi w:val="0"/>
        <w:spacing w:line="560" w:lineRule="exact"/>
        <w:ind w:firstLine="640" w:firstLineChars="200"/>
        <w:jc w:val="both"/>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一、起草背景</w:t>
      </w:r>
    </w:p>
    <w:p>
      <w:pPr>
        <w:keepNext w:val="0"/>
        <w:keepLines w:val="0"/>
        <w:pageBreakBefore w:val="0"/>
        <w:kinsoku/>
        <w:overflowPunct/>
        <w:topLinePunct w:val="0"/>
        <w:autoSpaceDE/>
        <w:autoSpaceDN/>
        <w:bidi w:val="0"/>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党的二十大报告提出强化科技战略咨询，对科技智库建设提出了新的更高要求。2022年5月13日广西壮族自治区第十三届人民代表大会常务委员会第二十九次会议通过的《广西壮族自治区科技创新条例》第八章第六十五条明确“县级以上人民政府应当建立健全科技创新决策咨询机制，成立由科技、产业、投资、法律、知识产权等领域专家组成的科技创新决策咨询委员会，在编制实施重大战略规划、制定重要科技创新政策、作出重大科技任务部署等方面咨询其意见。”</w:t>
      </w:r>
      <w:r>
        <w:rPr>
          <w:rFonts w:hint="default" w:ascii="Times New Roman" w:hAnsi="Times New Roman" w:eastAsia="仿宋_GB2312" w:cs="Times New Roman"/>
          <w:sz w:val="32"/>
          <w:szCs w:val="32"/>
          <w:lang w:val="en" w:eastAsia="zh-CN"/>
        </w:rPr>
        <w:t>2025年出台</w:t>
      </w:r>
      <w:r>
        <w:rPr>
          <w:rFonts w:hint="eastAsia" w:ascii="Times New Roman" w:hAnsi="Times New Roman" w:eastAsia="仿宋_GB2312" w:cs="Times New Roman"/>
          <w:sz w:val="32"/>
          <w:szCs w:val="32"/>
          <w:lang w:val="en-US" w:eastAsia="zh-CN"/>
        </w:rPr>
        <w:t>《玉林市科技强市三年行动方案（2025—2027年）》</w:t>
      </w:r>
      <w:r>
        <w:rPr>
          <w:rFonts w:hint="default" w:ascii="Times New Roman" w:hAnsi="Times New Roman" w:eastAsia="仿宋_GB2312" w:cs="Times New Roman"/>
          <w:sz w:val="32"/>
          <w:szCs w:val="32"/>
          <w:lang w:val="en" w:eastAsia="zh-CN"/>
        </w:rPr>
        <w:t>明确要求进一步建设完善玉林</w:t>
      </w:r>
      <w:r>
        <w:rPr>
          <w:rFonts w:hint="eastAsia" w:ascii="仿宋_GB2312" w:hAnsi="仿宋_GB2312" w:eastAsia="仿宋_GB2312" w:cs="仿宋_GB2312"/>
          <w:sz w:val="32"/>
          <w:szCs w:val="32"/>
          <w:lang w:val="en" w:eastAsia="zh-CN"/>
        </w:rPr>
        <w:t>市“两湾”产业融</w:t>
      </w:r>
      <w:r>
        <w:rPr>
          <w:rFonts w:hint="default" w:ascii="Times New Roman" w:hAnsi="Times New Roman" w:eastAsia="仿宋_GB2312" w:cs="Times New Roman"/>
          <w:sz w:val="32"/>
          <w:szCs w:val="32"/>
          <w:lang w:val="en" w:eastAsia="zh-CN"/>
        </w:rPr>
        <w:t>合科技创新智库（广西·玉林）。</w:t>
      </w:r>
      <w:r>
        <w:rPr>
          <w:rFonts w:hint="eastAsia" w:ascii="Times New Roman" w:hAnsi="Times New Roman" w:eastAsia="仿宋_GB2312" w:cs="Times New Roman"/>
          <w:sz w:val="32"/>
          <w:szCs w:val="32"/>
          <w:lang w:val="en-US" w:eastAsia="zh-CN"/>
        </w:rPr>
        <w:t>建设科技创新智库并进一步完善以智库支撑决策的制度体系是贯彻落实国家</w:t>
      </w:r>
      <w:r>
        <w:rPr>
          <w:rFonts w:hint="default" w:ascii="Times New Roman" w:hAnsi="Times New Roman" w:eastAsia="仿宋_GB2312" w:cs="Times New Roman"/>
          <w:sz w:val="32"/>
          <w:szCs w:val="32"/>
          <w:lang w:val="en" w:eastAsia="zh-CN"/>
        </w:rPr>
        <w:t>、</w:t>
      </w:r>
      <w:r>
        <w:rPr>
          <w:rFonts w:hint="eastAsia" w:ascii="Times New Roman" w:hAnsi="Times New Roman" w:eastAsia="仿宋_GB2312" w:cs="Times New Roman"/>
          <w:sz w:val="32"/>
          <w:szCs w:val="32"/>
          <w:lang w:val="en-US" w:eastAsia="zh-CN"/>
        </w:rPr>
        <w:t>自治区</w:t>
      </w:r>
      <w:r>
        <w:rPr>
          <w:rFonts w:hint="default" w:ascii="Times New Roman" w:hAnsi="Times New Roman" w:eastAsia="仿宋_GB2312" w:cs="Times New Roman"/>
          <w:sz w:val="32"/>
          <w:szCs w:val="32"/>
          <w:lang w:val="en" w:eastAsia="zh-CN"/>
        </w:rPr>
        <w:t>以及玉林市</w:t>
      </w:r>
      <w:r>
        <w:rPr>
          <w:rFonts w:hint="eastAsia" w:ascii="Times New Roman" w:hAnsi="Times New Roman" w:eastAsia="仿宋_GB2312" w:cs="Times New Roman"/>
          <w:sz w:val="32"/>
          <w:szCs w:val="32"/>
          <w:lang w:val="en-US" w:eastAsia="zh-CN"/>
        </w:rPr>
        <w:t>建设特色新型智库部署的内在要求。</w:t>
      </w:r>
    </w:p>
    <w:p>
      <w:pPr>
        <w:keepNext w:val="0"/>
        <w:keepLines w:val="0"/>
        <w:pageBreakBefore w:val="0"/>
        <w:kinsoku/>
        <w:overflowPunct/>
        <w:topLinePunct w:val="0"/>
        <w:autoSpaceDE/>
        <w:autoSpaceDN/>
        <w:bidi w:val="0"/>
        <w:spacing w:line="560" w:lineRule="exact"/>
        <w:ind w:firstLine="640" w:firstLineChars="200"/>
        <w:jc w:val="both"/>
        <w:textAlignment w:val="auto"/>
        <w:rPr>
          <w:rFonts w:hint="default" w:ascii="黑体" w:hAnsi="黑体" w:eastAsia="黑体" w:cs="黑体"/>
          <w:color w:val="auto"/>
          <w:sz w:val="32"/>
          <w:szCs w:val="32"/>
          <w:lang w:val="en" w:eastAsia="zh-CN"/>
        </w:rPr>
      </w:pPr>
      <w:r>
        <w:rPr>
          <w:rFonts w:hint="eastAsia" w:ascii="黑体" w:hAnsi="黑体" w:eastAsia="黑体" w:cs="黑体"/>
          <w:color w:val="auto"/>
          <w:sz w:val="32"/>
          <w:szCs w:val="32"/>
          <w:lang w:eastAsia="zh-CN"/>
        </w:rPr>
        <w:t>二、起草依据</w:t>
      </w:r>
    </w:p>
    <w:p>
      <w:pPr>
        <w:spacing w:line="560" w:lineRule="exact"/>
        <w:ind w:firstLine="640" w:firstLineChars="200"/>
        <w:jc w:val="both"/>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（一）《广西壮族自治区科技创新条例》（</w:t>
      </w:r>
      <w:r>
        <w:rPr>
          <w:rFonts w:hint="eastAsia" w:ascii="Times New Roman" w:hAnsi="Times New Roman" w:eastAsia="仿宋_GB2312"/>
          <w:color w:val="auto"/>
          <w:sz w:val="32"/>
          <w:szCs w:val="32"/>
          <w:lang w:val="en-US" w:eastAsia="zh-CN"/>
        </w:rPr>
        <w:t>2022年5月13日</w:t>
      </w:r>
      <w:r>
        <w:rPr>
          <w:rFonts w:hint="eastAsia" w:ascii="Times New Roman" w:hAnsi="Times New Roman" w:eastAsia="仿宋_GB2312"/>
          <w:color w:val="auto"/>
          <w:sz w:val="32"/>
          <w:szCs w:val="32"/>
          <w:lang w:eastAsia="zh-CN"/>
        </w:rPr>
        <w:t>广西壮族自治区第十三届人民代表大会常务委员会第二十九次会议通过）；</w:t>
      </w:r>
    </w:p>
    <w:p>
      <w:pPr>
        <w:spacing w:line="560" w:lineRule="exact"/>
        <w:ind w:firstLine="640" w:firstLineChars="200"/>
        <w:jc w:val="both"/>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（二）《玉林市科技强市三年行动方案（2025—2027年）》（玉办发〔202</w:t>
      </w: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lang w:eastAsia="zh-CN"/>
        </w:rPr>
        <w:t>〕1号）。</w:t>
      </w:r>
    </w:p>
    <w:p>
      <w:pPr>
        <w:spacing w:line="560" w:lineRule="exact"/>
        <w:ind w:firstLine="640" w:firstLineChars="200"/>
        <w:jc w:val="both"/>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三、起草过程</w:t>
      </w:r>
    </w:p>
    <w:p>
      <w:pPr>
        <w:spacing w:line="560" w:lineRule="exact"/>
        <w:ind w:firstLine="640" w:firstLineChars="200"/>
        <w:jc w:val="both"/>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结合科技智库管理和发展特点，在广泛开展调研、借鉴先进地市经验做法的基础上，起草了</w:t>
      </w:r>
      <w:r>
        <w:rPr>
          <w:rFonts w:hint="eastAsia" w:ascii="Times New Roman" w:hAnsi="Times New Roman" w:eastAsia="仿宋_GB2312" w:cs="Times New Roman"/>
          <w:sz w:val="32"/>
          <w:szCs w:val="32"/>
          <w:lang w:val="en-US" w:eastAsia="zh-CN"/>
        </w:rPr>
        <w:t>《“两湾”产业融合科技创新智库（广西·玉林）管理办法》（以下简称《办法》）</w:t>
      </w:r>
      <w:r>
        <w:rPr>
          <w:rFonts w:hint="eastAsia" w:ascii="Times New Roman" w:hAnsi="Times New Roman" w:eastAsia="仿宋_GB2312"/>
          <w:color w:val="auto"/>
          <w:sz w:val="32"/>
          <w:szCs w:val="32"/>
          <w:lang w:eastAsia="zh-CN"/>
        </w:rPr>
        <w:t>初稿。</w:t>
      </w:r>
    </w:p>
    <w:p>
      <w:pPr>
        <w:spacing w:line="560" w:lineRule="exact"/>
        <w:ind w:firstLine="640" w:firstLineChars="200"/>
        <w:jc w:val="both"/>
        <w:rPr>
          <w:rFonts w:hint="eastAsia" w:ascii="黑体" w:hAnsi="黑体" w:eastAsia="黑体" w:cs="黑体"/>
          <w:sz w:val="32"/>
          <w:szCs w:val="32"/>
          <w:lang w:eastAsia="zh-CN"/>
        </w:rPr>
      </w:pPr>
      <w:r>
        <w:rPr>
          <w:rFonts w:hint="eastAsia" w:ascii="黑体" w:hAnsi="黑体" w:eastAsia="黑体" w:cs="黑体"/>
          <w:sz w:val="32"/>
          <w:szCs w:val="32"/>
          <w:lang w:eastAsia="zh-CN"/>
        </w:rPr>
        <w:t>四、主要框架</w:t>
      </w:r>
    </w:p>
    <w:p>
      <w:pPr>
        <w:keepNext w:val="0"/>
        <w:keepLines w:val="0"/>
        <w:pageBreakBefore w:val="0"/>
        <w:kinsoku/>
        <w:overflowPunct/>
        <w:topLinePunct w:val="0"/>
        <w:autoSpaceDE/>
        <w:autoSpaceDN/>
        <w:bidi w:val="0"/>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olor w:val="auto"/>
          <w:sz w:val="32"/>
          <w:szCs w:val="32"/>
          <w:lang w:eastAsia="zh-CN"/>
        </w:rPr>
        <w:t>《办法》</w:t>
      </w:r>
      <w:r>
        <w:rPr>
          <w:rFonts w:hint="eastAsia" w:ascii="Times New Roman" w:hAnsi="Times New Roman" w:eastAsia="仿宋_GB2312" w:cs="Times New Roman"/>
          <w:sz w:val="32"/>
          <w:szCs w:val="32"/>
          <w:lang w:val="en-US" w:eastAsia="zh-CN"/>
        </w:rPr>
        <w:t>共七章二十四条，包括总则、入库条件、入库方式、服务内容、政策支持、退出智库、附则等7部分内容。</w:t>
      </w:r>
    </w:p>
    <w:p>
      <w:pPr>
        <w:keepNext w:val="0"/>
        <w:keepLines w:val="0"/>
        <w:pageBreakBefore w:val="0"/>
        <w:kinsoku/>
        <w:overflowPunct/>
        <w:topLinePunct w:val="0"/>
        <w:autoSpaceDE/>
        <w:autoSpaceDN/>
        <w:bidi w:val="0"/>
        <w:spacing w:line="560" w:lineRule="exact"/>
        <w:ind w:firstLine="642"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第一章为总则。</w:t>
      </w:r>
      <w:r>
        <w:rPr>
          <w:rFonts w:hint="eastAsia" w:ascii="Times New Roman" w:hAnsi="Times New Roman" w:eastAsia="仿宋_GB2312" w:cs="Times New Roman"/>
          <w:sz w:val="32"/>
          <w:szCs w:val="32"/>
          <w:lang w:val="en-US" w:eastAsia="zh-CN"/>
        </w:rPr>
        <w:t>明确了“两湾”产业融合科技创新智库（广西·玉林）建设的政策依据、宗旨</w:t>
      </w:r>
      <w:bookmarkStart w:id="0" w:name="_GoBack"/>
      <w:bookmarkEnd w:id="0"/>
      <w:r>
        <w:rPr>
          <w:rFonts w:hint="eastAsia" w:ascii="Times New Roman" w:hAnsi="Times New Roman" w:eastAsia="仿宋_GB2312" w:cs="Times New Roman"/>
          <w:sz w:val="32"/>
          <w:szCs w:val="32"/>
          <w:lang w:val="en-US" w:eastAsia="zh-CN"/>
        </w:rPr>
        <w:t>定义、管理原则及管理部门。</w:t>
      </w:r>
    </w:p>
    <w:p>
      <w:pPr>
        <w:keepNext w:val="0"/>
        <w:keepLines w:val="0"/>
        <w:pageBreakBefore w:val="0"/>
        <w:kinsoku/>
        <w:overflowPunct/>
        <w:topLinePunct w:val="0"/>
        <w:autoSpaceDE/>
        <w:autoSpaceDN/>
        <w:bidi w:val="0"/>
        <w:spacing w:line="560" w:lineRule="exact"/>
        <w:ind w:firstLine="642"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第二章为入库条件。</w:t>
      </w:r>
      <w:r>
        <w:rPr>
          <w:rFonts w:hint="eastAsia" w:ascii="Times New Roman" w:hAnsi="Times New Roman" w:eastAsia="仿宋_GB2312" w:cs="Times New Roman"/>
          <w:sz w:val="32"/>
          <w:szCs w:val="32"/>
          <w:lang w:val="en-US" w:eastAsia="zh-CN"/>
        </w:rPr>
        <w:t>就入库专家人才和研究机构的基本条件和优先支持条件等作出了具体规定。</w:t>
      </w:r>
    </w:p>
    <w:p>
      <w:pPr>
        <w:keepNext w:val="0"/>
        <w:keepLines w:val="0"/>
        <w:pageBreakBefore w:val="0"/>
        <w:kinsoku/>
        <w:overflowPunct/>
        <w:topLinePunct w:val="0"/>
        <w:autoSpaceDE/>
        <w:autoSpaceDN/>
        <w:bidi w:val="0"/>
        <w:spacing w:line="560" w:lineRule="exact"/>
        <w:ind w:firstLine="642"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第三章为入库方式。</w:t>
      </w:r>
      <w:r>
        <w:rPr>
          <w:rFonts w:hint="eastAsia" w:ascii="Times New Roman" w:hAnsi="Times New Roman" w:eastAsia="仿宋_GB2312" w:cs="Times New Roman"/>
          <w:sz w:val="32"/>
          <w:szCs w:val="32"/>
          <w:lang w:val="en-US" w:eastAsia="zh-CN"/>
        </w:rPr>
        <w:t>明确了专家人才和研究机构的入库方式及流程。</w:t>
      </w:r>
    </w:p>
    <w:p>
      <w:pPr>
        <w:keepNext w:val="0"/>
        <w:keepLines w:val="0"/>
        <w:pageBreakBefore w:val="0"/>
        <w:kinsoku/>
        <w:overflowPunct/>
        <w:topLinePunct w:val="0"/>
        <w:autoSpaceDE/>
        <w:autoSpaceDN/>
        <w:bidi w:val="0"/>
        <w:spacing w:line="560" w:lineRule="exact"/>
        <w:ind w:firstLine="642"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第四章为服务内容。</w:t>
      </w:r>
      <w:r>
        <w:rPr>
          <w:rFonts w:hint="eastAsia" w:ascii="Times New Roman" w:hAnsi="Times New Roman" w:eastAsia="仿宋_GB2312" w:cs="Times New Roman"/>
          <w:sz w:val="32"/>
          <w:szCs w:val="32"/>
          <w:lang w:val="en-US" w:eastAsia="zh-CN"/>
        </w:rPr>
        <w:t>提出了智库专家人才和研究机构具体的服务内容。</w:t>
      </w:r>
    </w:p>
    <w:p>
      <w:pPr>
        <w:keepNext w:val="0"/>
        <w:keepLines w:val="0"/>
        <w:pageBreakBefore w:val="0"/>
        <w:kinsoku/>
        <w:overflowPunct/>
        <w:topLinePunct w:val="0"/>
        <w:autoSpaceDE/>
        <w:autoSpaceDN/>
        <w:bidi w:val="0"/>
        <w:spacing w:line="560" w:lineRule="exact"/>
        <w:ind w:firstLine="642"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第五章为政策支持。</w:t>
      </w:r>
      <w:r>
        <w:rPr>
          <w:rFonts w:hint="eastAsia" w:ascii="Times New Roman" w:hAnsi="Times New Roman" w:eastAsia="仿宋_GB2312" w:cs="Times New Roman"/>
          <w:sz w:val="32"/>
          <w:szCs w:val="32"/>
          <w:lang w:val="en-US" w:eastAsia="zh-CN"/>
        </w:rPr>
        <w:t>对入库的专家人才和研究机构给予的政府支持内容。</w:t>
      </w:r>
    </w:p>
    <w:p>
      <w:pPr>
        <w:keepNext w:val="0"/>
        <w:keepLines w:val="0"/>
        <w:pageBreakBefore w:val="0"/>
        <w:kinsoku/>
        <w:overflowPunct/>
        <w:topLinePunct w:val="0"/>
        <w:autoSpaceDE/>
        <w:autoSpaceDN/>
        <w:bidi w:val="0"/>
        <w:spacing w:line="560" w:lineRule="exact"/>
        <w:ind w:firstLine="642"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第六章为退出智库。</w:t>
      </w:r>
      <w:r>
        <w:rPr>
          <w:rFonts w:hint="eastAsia" w:ascii="Times New Roman" w:hAnsi="Times New Roman" w:eastAsia="仿宋_GB2312" w:cs="Times New Roman"/>
          <w:sz w:val="32"/>
          <w:szCs w:val="32"/>
          <w:lang w:val="en-US" w:eastAsia="zh-CN"/>
        </w:rPr>
        <w:t>就入库专家人才和研究机构的退出方式等作了具体规定。</w:t>
      </w:r>
    </w:p>
    <w:p>
      <w:pPr>
        <w:keepNext w:val="0"/>
        <w:keepLines w:val="0"/>
        <w:pageBreakBefore w:val="0"/>
        <w:kinsoku/>
        <w:overflowPunct/>
        <w:topLinePunct w:val="0"/>
        <w:autoSpaceDE/>
        <w:autoSpaceDN/>
        <w:bidi w:val="0"/>
        <w:spacing w:line="560" w:lineRule="exact"/>
        <w:ind w:firstLine="642"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第七章为附则。</w:t>
      </w:r>
      <w:r>
        <w:rPr>
          <w:rFonts w:hint="eastAsia" w:ascii="Times New Roman" w:hAnsi="Times New Roman" w:eastAsia="仿宋_GB2312" w:cs="Times New Roman"/>
          <w:sz w:val="32"/>
          <w:szCs w:val="32"/>
          <w:lang w:val="en-US" w:eastAsia="zh-CN"/>
        </w:rPr>
        <w:t>明确了《办法》由市科技局负责解释，以及方案施行日期。</w:t>
      </w:r>
    </w:p>
    <w:sectPr>
      <w:footerReference r:id="rId3" w:type="default"/>
      <w:footerReference r:id="rId4" w:type="even"/>
      <w:pgSz w:w="11906" w:h="16838"/>
      <w:pgMar w:top="1984"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7A"/>
    <w:family w:val="auto"/>
    <w:pitch w:val="default"/>
    <w:sig w:usb0="00000000" w:usb1="00000000"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000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仿宋_GB2312" w:eastAsia="仿宋_GB2312"/>
        <w:sz w:val="28"/>
        <w:szCs w:val="28"/>
      </w:rPr>
    </w:pPr>
    <w:r>
      <w:rPr>
        <w:rFonts w:hint="eastAsia" w:ascii="仿宋_GB2312" w:hAnsi="Times New Roman" w:eastAsia="仿宋_GB2312" w:cs="Times New Roman"/>
        <w:sz w:val="28"/>
        <w:szCs w:val="28"/>
      </w:rPr>
      <w:t>—</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3</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r>
      <w:rPr>
        <w:rFonts w:hint="eastAsia" w:ascii="仿宋_GB2312" w:eastAsia="仿宋_GB2312"/>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仿宋_GB2312" w:eastAsia="仿宋_GB2312"/>
        <w:sz w:val="28"/>
        <w:szCs w:val="28"/>
      </w:rPr>
    </w:pPr>
    <w:r>
      <w:rPr>
        <w:rFonts w:hint="eastAsia" w:ascii="仿宋_GB2312" w:eastAsia="仿宋_GB2312"/>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4</w:t>
    </w:r>
    <w:r>
      <w:rPr>
        <w:rFonts w:hint="eastAsia" w:asciiTheme="majorEastAsia" w:hAnsiTheme="majorEastAsia" w:eastAsiaTheme="majorEastAsia" w:cstheme="majorEastAsia"/>
        <w:sz w:val="28"/>
        <w:szCs w:val="28"/>
      </w:rPr>
      <w:fldChar w:fldCharType="end"/>
    </w:r>
    <w:r>
      <w:rPr>
        <w:rFonts w:hint="eastAsia" w:ascii="Times New Roman" w:hAnsi="Times New Roman" w:eastAsia="仿宋_GB2312" w:cs="Times New Roman"/>
        <w:sz w:val="28"/>
        <w:szCs w:val="28"/>
      </w:rPr>
      <w:t xml:space="preserve"> </w:t>
    </w:r>
    <w:r>
      <w:rPr>
        <w:rFonts w:hint="eastAsia" w:ascii="仿宋_GB2312" w:eastAsia="仿宋_GB2312"/>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00000"/>
    <w:rsid w:val="09EF7AAE"/>
    <w:rsid w:val="0BEEAFD6"/>
    <w:rsid w:val="15FEBD9A"/>
    <w:rsid w:val="1B17EAAB"/>
    <w:rsid w:val="1BCBBFD5"/>
    <w:rsid w:val="1EDD404A"/>
    <w:rsid w:val="1EF7A293"/>
    <w:rsid w:val="1FF7AB52"/>
    <w:rsid w:val="279D6A2B"/>
    <w:rsid w:val="27EF60DE"/>
    <w:rsid w:val="2B7BAAEC"/>
    <w:rsid w:val="2F1A3B9A"/>
    <w:rsid w:val="2FCF0B7F"/>
    <w:rsid w:val="2FDD7BB3"/>
    <w:rsid w:val="2FFB0DF5"/>
    <w:rsid w:val="2FFF62A8"/>
    <w:rsid w:val="31F79083"/>
    <w:rsid w:val="327CF9B8"/>
    <w:rsid w:val="33FF557E"/>
    <w:rsid w:val="36BF0E44"/>
    <w:rsid w:val="39FFB370"/>
    <w:rsid w:val="3A773FFF"/>
    <w:rsid w:val="3DFB0670"/>
    <w:rsid w:val="3DFCB08C"/>
    <w:rsid w:val="3F7703FB"/>
    <w:rsid w:val="3F9E5D81"/>
    <w:rsid w:val="3FFAA049"/>
    <w:rsid w:val="3FFE9A9E"/>
    <w:rsid w:val="475E258F"/>
    <w:rsid w:val="49FBED73"/>
    <w:rsid w:val="4AFFC53C"/>
    <w:rsid w:val="4E7F2E1A"/>
    <w:rsid w:val="54DF6AD5"/>
    <w:rsid w:val="56FB076A"/>
    <w:rsid w:val="57680AB5"/>
    <w:rsid w:val="57D72A6A"/>
    <w:rsid w:val="57E4624B"/>
    <w:rsid w:val="57ED4299"/>
    <w:rsid w:val="58EB6B1C"/>
    <w:rsid w:val="5A9EA41C"/>
    <w:rsid w:val="5BEE5E9B"/>
    <w:rsid w:val="5BF2763A"/>
    <w:rsid w:val="5DF3FE55"/>
    <w:rsid w:val="5F1F6D01"/>
    <w:rsid w:val="5F7FFA87"/>
    <w:rsid w:val="5FBFF7F0"/>
    <w:rsid w:val="5FF3115E"/>
    <w:rsid w:val="61B35DAE"/>
    <w:rsid w:val="64DFC75F"/>
    <w:rsid w:val="64E58201"/>
    <w:rsid w:val="64FFB803"/>
    <w:rsid w:val="6557631C"/>
    <w:rsid w:val="65FFAC26"/>
    <w:rsid w:val="66FD3DB1"/>
    <w:rsid w:val="6AFEB346"/>
    <w:rsid w:val="6BB9C41C"/>
    <w:rsid w:val="6BF20765"/>
    <w:rsid w:val="6CE738E7"/>
    <w:rsid w:val="6D778FDC"/>
    <w:rsid w:val="6DBF94AB"/>
    <w:rsid w:val="6DD9EE9F"/>
    <w:rsid w:val="6DDF132A"/>
    <w:rsid w:val="6EEF3BF5"/>
    <w:rsid w:val="6F3C6CD4"/>
    <w:rsid w:val="6F696122"/>
    <w:rsid w:val="6FB41C26"/>
    <w:rsid w:val="6FBC9821"/>
    <w:rsid w:val="6FCF8051"/>
    <w:rsid w:val="6FED3818"/>
    <w:rsid w:val="6FF7A9C5"/>
    <w:rsid w:val="6FFF9885"/>
    <w:rsid w:val="75FF6EA2"/>
    <w:rsid w:val="76B78529"/>
    <w:rsid w:val="76D7CE74"/>
    <w:rsid w:val="76FEEBCB"/>
    <w:rsid w:val="76FF296D"/>
    <w:rsid w:val="777FE4FF"/>
    <w:rsid w:val="77F509E6"/>
    <w:rsid w:val="7945DADB"/>
    <w:rsid w:val="797C4EF3"/>
    <w:rsid w:val="79FFC647"/>
    <w:rsid w:val="7A6B8C0F"/>
    <w:rsid w:val="7AAA1838"/>
    <w:rsid w:val="7AEFBDF4"/>
    <w:rsid w:val="7B371C1A"/>
    <w:rsid w:val="7B5D622D"/>
    <w:rsid w:val="7B79D2E5"/>
    <w:rsid w:val="7B7B58C0"/>
    <w:rsid w:val="7BEF930D"/>
    <w:rsid w:val="7BF4F55F"/>
    <w:rsid w:val="7CA466FB"/>
    <w:rsid w:val="7D1C54FA"/>
    <w:rsid w:val="7DDFEBB3"/>
    <w:rsid w:val="7DDFFDBE"/>
    <w:rsid w:val="7DE3D4C6"/>
    <w:rsid w:val="7EB15E98"/>
    <w:rsid w:val="7EBBDB9B"/>
    <w:rsid w:val="7EBF2B27"/>
    <w:rsid w:val="7EE8776B"/>
    <w:rsid w:val="7EEB77E7"/>
    <w:rsid w:val="7EEDE632"/>
    <w:rsid w:val="7EF76344"/>
    <w:rsid w:val="7EF7C4A2"/>
    <w:rsid w:val="7EFB7013"/>
    <w:rsid w:val="7F45C1DE"/>
    <w:rsid w:val="7F7D34A3"/>
    <w:rsid w:val="7F7DB0FB"/>
    <w:rsid w:val="7F7DF438"/>
    <w:rsid w:val="7F7ED2E1"/>
    <w:rsid w:val="7F7FF323"/>
    <w:rsid w:val="7F9F60DA"/>
    <w:rsid w:val="7FB79445"/>
    <w:rsid w:val="7FBE97C9"/>
    <w:rsid w:val="7FBF9267"/>
    <w:rsid w:val="7FC4A6C4"/>
    <w:rsid w:val="7FD0DFAA"/>
    <w:rsid w:val="7FD7E377"/>
    <w:rsid w:val="7FDDBC48"/>
    <w:rsid w:val="7FEB4E24"/>
    <w:rsid w:val="7FF77FDF"/>
    <w:rsid w:val="7FFB7325"/>
    <w:rsid w:val="7FFD8E40"/>
    <w:rsid w:val="7FFDB79F"/>
    <w:rsid w:val="8EFD2251"/>
    <w:rsid w:val="936365FE"/>
    <w:rsid w:val="9DD53D6C"/>
    <w:rsid w:val="9F5BA2DA"/>
    <w:rsid w:val="9FEDDFC3"/>
    <w:rsid w:val="9FFDBFF6"/>
    <w:rsid w:val="A573994B"/>
    <w:rsid w:val="A5FD52B8"/>
    <w:rsid w:val="AAFE6A9B"/>
    <w:rsid w:val="ACEF99F5"/>
    <w:rsid w:val="AEB9B40F"/>
    <w:rsid w:val="AFFFA3CD"/>
    <w:rsid w:val="B43F1BF4"/>
    <w:rsid w:val="B8E6BE5C"/>
    <w:rsid w:val="B9ADEDE6"/>
    <w:rsid w:val="B9BF175B"/>
    <w:rsid w:val="BB6F07EC"/>
    <w:rsid w:val="BDF62CBE"/>
    <w:rsid w:val="BE596D0A"/>
    <w:rsid w:val="BECF5750"/>
    <w:rsid w:val="BEDE9CEC"/>
    <w:rsid w:val="BFDC4AED"/>
    <w:rsid w:val="BFF795CA"/>
    <w:rsid w:val="C6FA27D1"/>
    <w:rsid w:val="C7774AAE"/>
    <w:rsid w:val="CE5E508C"/>
    <w:rsid w:val="CFFFEFDA"/>
    <w:rsid w:val="D0DEBB65"/>
    <w:rsid w:val="D27744AA"/>
    <w:rsid w:val="D7DD7EE7"/>
    <w:rsid w:val="D8FDC92B"/>
    <w:rsid w:val="DB674671"/>
    <w:rsid w:val="DCB9F619"/>
    <w:rsid w:val="DD7A9C6E"/>
    <w:rsid w:val="DDBDFACE"/>
    <w:rsid w:val="DDCF5945"/>
    <w:rsid w:val="DDF3B04A"/>
    <w:rsid w:val="DDFF8468"/>
    <w:rsid w:val="DE5F99C1"/>
    <w:rsid w:val="DFAEB3B2"/>
    <w:rsid w:val="DFD75879"/>
    <w:rsid w:val="E7D74DBF"/>
    <w:rsid w:val="EAF74FAE"/>
    <w:rsid w:val="EBBD6ED9"/>
    <w:rsid w:val="EDA7FC17"/>
    <w:rsid w:val="EDDEBF16"/>
    <w:rsid w:val="EDEFB449"/>
    <w:rsid w:val="EF6FB003"/>
    <w:rsid w:val="EF6FC423"/>
    <w:rsid w:val="EF7C0D6D"/>
    <w:rsid w:val="EF7E68A5"/>
    <w:rsid w:val="EFC2563D"/>
    <w:rsid w:val="EFD79CE6"/>
    <w:rsid w:val="EFF343A1"/>
    <w:rsid w:val="EFF5EB44"/>
    <w:rsid w:val="F3DD750B"/>
    <w:rsid w:val="F3F78FF1"/>
    <w:rsid w:val="F5DF6283"/>
    <w:rsid w:val="F60FF743"/>
    <w:rsid w:val="F79F97B8"/>
    <w:rsid w:val="F8BEE71D"/>
    <w:rsid w:val="F97DEACA"/>
    <w:rsid w:val="F9EEDDBC"/>
    <w:rsid w:val="F9FF2799"/>
    <w:rsid w:val="FA9DFC01"/>
    <w:rsid w:val="FAFF73B0"/>
    <w:rsid w:val="FAFFE464"/>
    <w:rsid w:val="FB1FEB94"/>
    <w:rsid w:val="FB313FF1"/>
    <w:rsid w:val="FB7F603E"/>
    <w:rsid w:val="FBE77DF9"/>
    <w:rsid w:val="FBF89429"/>
    <w:rsid w:val="FCF9A14B"/>
    <w:rsid w:val="FD391102"/>
    <w:rsid w:val="FD3B38A2"/>
    <w:rsid w:val="FD6E1F40"/>
    <w:rsid w:val="FD7C489B"/>
    <w:rsid w:val="FDDB108E"/>
    <w:rsid w:val="FDFE6694"/>
    <w:rsid w:val="FE54BA2E"/>
    <w:rsid w:val="FE7F8D47"/>
    <w:rsid w:val="FECF141A"/>
    <w:rsid w:val="FEEAE686"/>
    <w:rsid w:val="FF35A5B5"/>
    <w:rsid w:val="FF4B72A2"/>
    <w:rsid w:val="FF595EC9"/>
    <w:rsid w:val="FF62395F"/>
    <w:rsid w:val="FF6F604A"/>
    <w:rsid w:val="FF7BA700"/>
    <w:rsid w:val="FF7F42E1"/>
    <w:rsid w:val="FF97547C"/>
    <w:rsid w:val="FFB4FBB5"/>
    <w:rsid w:val="FFDDD067"/>
    <w:rsid w:val="FFDEA504"/>
    <w:rsid w:val="FFDF49FD"/>
    <w:rsid w:val="FFDF546E"/>
    <w:rsid w:val="FFE04655"/>
    <w:rsid w:val="FFF3C835"/>
    <w:rsid w:val="FFF6A639"/>
    <w:rsid w:val="FFFBBB60"/>
    <w:rsid w:val="FFFD1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qFormat/>
    <w:uiPriority w:val="1"/>
  </w:style>
  <w:style w:type="table" w:default="1" w:styleId="5">
    <w:name w:val="Normal Table"/>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rFonts w:ascii="Calibri" w:hAnsi="Calibri" w:eastAsia="宋体" w:cs="宋体"/>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rFonts w:ascii="Calibri" w:hAnsi="Calibri" w:eastAsia="宋体" w:cs="宋体"/>
      <w:sz w:val="18"/>
      <w:szCs w:val="18"/>
    </w:rPr>
  </w:style>
  <w:style w:type="paragraph" w:styleId="4">
    <w:name w:val="HTML Preformatted"/>
    <w:basedOn w:val="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9203</Words>
  <Characters>9758</Characters>
  <Paragraphs>47</Paragraphs>
  <TotalTime>1</TotalTime>
  <ScaleCrop>false</ScaleCrop>
  <LinksUpToDate>false</LinksUpToDate>
  <CharactersWithSpaces>9772</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2021-11-20T02:59:00Z</dcterms:created>
  <dc:creator>屠昌超</dc:creator>
  <cp:lastModifiedBy>gxxc</cp:lastModifiedBy>
  <cp:lastPrinted>2025-06-09T11:01:12Z</cp:lastPrinted>
  <dcterms:modified xsi:type="dcterms:W3CDTF">2025-06-09T11:01:32Z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f6b690132c504222a500322b5bf74345</vt:lpwstr>
  </property>
</Properties>
</file>